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5132C1" w:rsidRDefault="00C9012E" w:rsidP="005132C1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5132C1">
        <w:rPr>
          <w:rFonts w:cs="B Badr" w:hint="cs"/>
          <w:sz w:val="32"/>
          <w:szCs w:val="32"/>
          <w:rtl/>
          <w:lang w:bidi="fa-IR"/>
        </w:rPr>
        <w:t>خارج اصول96</w:t>
      </w:r>
    </w:p>
    <w:p w:rsidR="00C9012E" w:rsidRPr="005132C1" w:rsidRDefault="00C9012E" w:rsidP="005132C1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5132C1">
        <w:rPr>
          <w:rFonts w:cs="B Badr" w:hint="cs"/>
          <w:sz w:val="32"/>
          <w:szCs w:val="32"/>
          <w:rtl/>
          <w:lang w:bidi="fa-IR"/>
        </w:rPr>
        <w:t>شنبه*18/ 12/ 97</w:t>
      </w:r>
    </w:p>
    <w:p w:rsidR="00C9012E" w:rsidRPr="005132C1" w:rsidRDefault="00C9012E" w:rsidP="005132C1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5132C1">
        <w:rPr>
          <w:rFonts w:cs="B Badr" w:hint="cs"/>
          <w:color w:val="FF0000"/>
          <w:sz w:val="32"/>
          <w:szCs w:val="32"/>
          <w:rtl/>
          <w:lang w:bidi="fa-IR"/>
        </w:rPr>
        <w:t>*بحث مقدمه ی واجب*</w:t>
      </w:r>
    </w:p>
    <w:p w:rsidR="004A7F34" w:rsidRPr="005132C1" w:rsidRDefault="004A7F34" w:rsidP="005132C1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5132C1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C9012E" w:rsidRPr="005132C1" w:rsidRDefault="004A7F34" w:rsidP="005132C1">
      <w:pPr>
        <w:bidi/>
        <w:rPr>
          <w:rFonts w:cs="B Badr"/>
          <w:sz w:val="32"/>
          <w:szCs w:val="32"/>
          <w:rtl/>
          <w:lang w:bidi="fa-IR"/>
        </w:rPr>
      </w:pPr>
      <w:r w:rsidRPr="005132C1">
        <w:rPr>
          <w:rFonts w:cs="B Badr" w:hint="cs"/>
          <w:sz w:val="32"/>
          <w:szCs w:val="32"/>
          <w:rtl/>
          <w:lang w:bidi="fa-IR"/>
        </w:rPr>
        <w:t>و من تك</w:t>
      </w:r>
      <w:r w:rsidR="00803A08" w:rsidRPr="005132C1">
        <w:rPr>
          <w:rFonts w:cs="B Badr" w:hint="cs"/>
          <w:sz w:val="32"/>
          <w:szCs w:val="32"/>
          <w:rtl/>
          <w:lang w:bidi="fa-IR"/>
        </w:rPr>
        <w:t>ّ</w:t>
      </w:r>
      <w:r w:rsidRPr="005132C1">
        <w:rPr>
          <w:rFonts w:cs="B Badr" w:hint="cs"/>
          <w:sz w:val="32"/>
          <w:szCs w:val="32"/>
          <w:rtl/>
          <w:lang w:bidi="fa-IR"/>
        </w:rPr>
        <w:t>بر ح</w:t>
      </w:r>
      <w:r w:rsidR="00803A08" w:rsidRPr="005132C1">
        <w:rPr>
          <w:rFonts w:cs="B Badr" w:hint="cs"/>
          <w:sz w:val="32"/>
          <w:szCs w:val="32"/>
          <w:rtl/>
          <w:lang w:bidi="fa-IR"/>
        </w:rPr>
        <w:t>ُ</w:t>
      </w:r>
      <w:r w:rsidRPr="005132C1">
        <w:rPr>
          <w:rFonts w:cs="B Badr" w:hint="cs"/>
          <w:sz w:val="32"/>
          <w:szCs w:val="32"/>
          <w:rtl/>
          <w:lang w:bidi="fa-IR"/>
        </w:rPr>
        <w:t>ق</w:t>
      </w:r>
      <w:r w:rsidR="00803A08" w:rsidRPr="005132C1">
        <w:rPr>
          <w:rFonts w:cs="B Badr" w:hint="cs"/>
          <w:sz w:val="32"/>
          <w:szCs w:val="32"/>
          <w:rtl/>
          <w:lang w:bidi="fa-IR"/>
        </w:rPr>
        <w:t>ّ</w:t>
      </w:r>
      <w:r w:rsidRPr="005132C1">
        <w:rPr>
          <w:rFonts w:cs="B Badr" w:hint="cs"/>
          <w:sz w:val="32"/>
          <w:szCs w:val="32"/>
          <w:rtl/>
          <w:lang w:bidi="fa-IR"/>
        </w:rPr>
        <w:t>ر</w:t>
      </w:r>
      <w:r w:rsidR="00803A08" w:rsidRPr="005132C1">
        <w:rPr>
          <w:rFonts w:cs="B Badr" w:hint="cs"/>
          <w:sz w:val="32"/>
          <w:szCs w:val="32"/>
          <w:rtl/>
          <w:lang w:bidi="fa-IR"/>
        </w:rPr>
        <w:t>.</w:t>
      </w:r>
      <w:r w:rsidRPr="005132C1"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803A08" w:rsidRPr="005132C1" w:rsidRDefault="00803A08" w:rsidP="005132C1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5132C1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803A08" w:rsidRPr="005132C1" w:rsidRDefault="00B81B41" w:rsidP="005132C1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5132C1">
        <w:rPr>
          <w:rFonts w:cs="B Badr" w:hint="cs"/>
          <w:color w:val="0070C0"/>
          <w:sz w:val="32"/>
          <w:szCs w:val="32"/>
          <w:rtl/>
          <w:lang w:bidi="fa-IR"/>
        </w:rPr>
        <w:t>مقدمه</w:t>
      </w:r>
    </w:p>
    <w:p w:rsidR="00B81B41" w:rsidRPr="005132C1" w:rsidRDefault="00B81B41" w:rsidP="005132C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قبل از شروع بحث اصلی یعنی «مقدم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ه ی واجب»، نکاتی بعنوان مقدمه</w:t>
      </w:r>
      <w:r w:rsidR="00292F98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ی بحث،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عرض می شود:</w:t>
      </w:r>
    </w:p>
    <w:p w:rsidR="009575A1" w:rsidRPr="005132C1" w:rsidRDefault="00B81B41" w:rsidP="005132C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1.اولین کتاب در تاریخ تشیع که بحث مقدمه ی واجب را ذکر کرده است،«</w:t>
      </w:r>
      <w:r w:rsidRPr="005132C1">
        <w:rPr>
          <w:rFonts w:cs="B Badr" w:hint="cs"/>
          <w:color w:val="0070C0"/>
          <w:sz w:val="32"/>
          <w:szCs w:val="32"/>
          <w:rtl/>
          <w:lang w:bidi="fa-IR"/>
        </w:rPr>
        <w:t>التذکرة فی اصول الفقه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 w:rsidR="00E14B86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تألیف شیخ مفید می ب</w:t>
      </w:r>
      <w:r w:rsidR="009575A1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اشد. ایشان در این کتاب می گوید:</w:t>
      </w:r>
    </w:p>
    <w:p w:rsidR="00E14B86" w:rsidRPr="005132C1" w:rsidRDefault="00E14B86" w:rsidP="005132C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ما لا يتم</w:t>
      </w:r>
      <w:r w:rsidR="0056233A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الفعل إل</w:t>
      </w:r>
      <w:r w:rsidR="0056233A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ا به، فهو واجب‏؛ كوجوب الفعل المأمور به‏؛ و كذلك الأمر بالمسب</w:t>
      </w:r>
      <w:r w:rsidR="0056233A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ب، دليل على وجوب فعل السبب‏؛ و الأمر بالمراد، دليل على وجوب فعل الإرادة.</w:t>
      </w:r>
      <w:r w:rsidR="009575A1" w:rsidRPr="005132C1">
        <w:rPr>
          <w:rStyle w:val="FootnoteReference"/>
          <w:rFonts w:cs="B Badr"/>
          <w:color w:val="000000" w:themeColor="text1"/>
          <w:sz w:val="32"/>
          <w:szCs w:val="32"/>
          <w:rtl/>
          <w:lang w:bidi="fa-IR"/>
        </w:rPr>
        <w:footnoteReference w:id="2"/>
      </w:r>
    </w:p>
    <w:p w:rsidR="002D64A7" w:rsidRPr="005132C1" w:rsidRDefault="0056233A" w:rsidP="005132C1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از این عبارت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شیخ مفید استفاده می شود که بحث مقدمه ی واجب در بین متقد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مین با سه تعبیر بیان می شده است: 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ما لایتم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الواجب الا به»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«السبب»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«فعل الإرادة»</w:t>
      </w:r>
      <w:r w:rsidR="002D64A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.</w:t>
      </w:r>
    </w:p>
    <w:p w:rsidR="00D579FD" w:rsidRPr="005132C1" w:rsidRDefault="0056233A" w:rsidP="005132C1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شاهد بر این مد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ّ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عا عبارت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سید مرتضی در کتاب 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 w:rsidRPr="005132C1">
        <w:rPr>
          <w:rFonts w:cs="B Badr" w:hint="cs"/>
          <w:color w:val="0070C0"/>
          <w:sz w:val="32"/>
          <w:szCs w:val="32"/>
          <w:rtl/>
          <w:lang w:bidi="fa-IR"/>
        </w:rPr>
        <w:t>الذریعة إلی اصول الشریعة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می باشد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:</w:t>
      </w:r>
    </w:p>
    <w:p w:rsidR="003041A1" w:rsidRPr="005132C1" w:rsidRDefault="0056233A" w:rsidP="005132C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فصل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في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="00437FEB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هل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الأمر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بالشي‏ء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أمر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بما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لا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يتمّ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إلا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به</w:t>
      </w:r>
      <w:r w:rsidR="00D579FD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؟</w:t>
      </w:r>
      <w:r w:rsidR="00437FEB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 w:rsidR="005132C1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</w:p>
    <w:p w:rsidR="00437FEB" w:rsidRPr="005132C1" w:rsidRDefault="00437FEB" w:rsidP="00F056AF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آنگاه در یک تقسیم می فرماید:</w:t>
      </w:r>
    </w:p>
    <w:p w:rsidR="00E64FEE" w:rsidRPr="005132C1" w:rsidRDefault="0056233A" w:rsidP="005132C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إن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كان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الّذي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لا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يتمّ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ذلك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الشّي‏ء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إلاّ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به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سببا،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فالأمر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بالمسبّب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يجب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أن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يكون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أمرا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به،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و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إن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كان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غير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="008F67C5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سبب-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و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إنّما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هو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مقدّمة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للفعل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و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شرط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فيه</w:t>
      </w:r>
      <w:r w:rsidR="008F67C5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-،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لم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يجب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أن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يعقل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من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مجرّد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الأمر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أنّه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أمر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 xml:space="preserve">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به</w:t>
      </w:r>
      <w:r w:rsidRPr="005132C1">
        <w:rPr>
          <w:rFonts w:cs="B Badr"/>
          <w:color w:val="000000" w:themeColor="text1"/>
          <w:sz w:val="32"/>
          <w:szCs w:val="32"/>
          <w:rtl/>
          <w:lang w:bidi="fa-IR"/>
        </w:rPr>
        <w:t>.</w:t>
      </w:r>
      <w:r w:rsidRPr="005132C1">
        <w:rPr>
          <w:rStyle w:val="FootnoteReference"/>
          <w:rFonts w:cs="B Badr"/>
          <w:color w:val="000000" w:themeColor="text1"/>
          <w:sz w:val="32"/>
          <w:szCs w:val="32"/>
          <w:rtl/>
          <w:lang w:bidi="fa-IR"/>
        </w:rPr>
        <w:footnoteReference w:id="3"/>
      </w:r>
    </w:p>
    <w:p w:rsidR="003041A1" w:rsidRPr="005132C1" w:rsidRDefault="00065CB4" w:rsidP="005132C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lastRenderedPageBreak/>
        <w:t>عبارت سید</w:t>
      </w:r>
      <w:r w:rsidR="00F056A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مرتضی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، نسبت به عبارت </w:t>
      </w:r>
      <w:r w:rsidR="00F056A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شیخ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مفید، دارای تکامل بیشتری است</w:t>
      </w:r>
      <w:r w:rsidR="006D17EB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="00F056AF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زیرا مقدمه ای را که سب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ب برای واجب باشد</w:t>
      </w:r>
      <w:r w:rsidR="006D17EB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مفروغ عنه می دا</w:t>
      </w:r>
      <w:r w:rsidR="006D17EB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ن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د و غیر سبب را محل اختلاف</w:t>
      </w:r>
      <w:r w:rsidR="006D17EB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و همچنین عبارت شیخ طوسی در </w:t>
      </w:r>
      <w:r w:rsidRPr="005132C1">
        <w:rPr>
          <w:rFonts w:cs="B Badr" w:hint="cs"/>
          <w:color w:val="0070C0"/>
          <w:sz w:val="32"/>
          <w:szCs w:val="32"/>
          <w:rtl/>
          <w:lang w:bidi="fa-IR"/>
        </w:rPr>
        <w:t>عدّة الاصول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:</w:t>
      </w:r>
    </w:p>
    <w:p w:rsidR="00065CB4" w:rsidRPr="005132C1" w:rsidRDefault="00065CB4" w:rsidP="005132C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فصل في «أن الأمر بالشي‏ء هل هو أمر بما لا يتم إلا به أم لا؟».</w:t>
      </w:r>
      <w:r w:rsidRPr="005132C1">
        <w:rPr>
          <w:rStyle w:val="FootnoteReference"/>
          <w:rFonts w:cs="B Badr"/>
          <w:color w:val="000000" w:themeColor="text1"/>
          <w:sz w:val="32"/>
          <w:szCs w:val="32"/>
          <w:rtl/>
          <w:lang w:bidi="fa-IR"/>
        </w:rPr>
        <w:footnoteReference w:id="4"/>
      </w:r>
    </w:p>
    <w:p w:rsidR="00010EB1" w:rsidRPr="005132C1" w:rsidRDefault="008A2797" w:rsidP="005132C1">
      <w:pPr>
        <w:tabs>
          <w:tab w:val="left" w:pos="2466"/>
        </w:tabs>
        <w:bidi/>
        <w:rPr>
          <w:rFonts w:cs="B Badr"/>
          <w:color w:val="0070C0"/>
          <w:sz w:val="32"/>
          <w:szCs w:val="32"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تا اینکه می رسیم به فرمایش علامه حلی در کتاب «</w:t>
      </w:r>
      <w:r w:rsidR="003041A1" w:rsidRPr="005132C1">
        <w:rPr>
          <w:rFonts w:cs="B Badr" w:hint="cs"/>
          <w:color w:val="0070C0"/>
          <w:sz w:val="32"/>
          <w:szCs w:val="32"/>
          <w:rtl/>
          <w:lang w:bidi="fa-IR"/>
        </w:rPr>
        <w:t>مبادی الوصول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»:</w:t>
      </w:r>
    </w:p>
    <w:p w:rsidR="00162DB8" w:rsidRPr="005132C1" w:rsidRDefault="00162DB8" w:rsidP="005132C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البحث العاشر في: وجوب ما يتوقّف عليه الواجب المطلق‏؛ الواجب: قسمان، مطلق: كالصلاة، و مقيد: كالزكاة. فالثاني: لا يستلزم وجوب ما يتوقّف عليه من القيد. و الأوّل: يستلزم وجوب ما لا يتمّ إلا به، إذا كان مقدورا؛ لأنّ الأمر ورد مطلقا، فلو لم تجب المقدّمة، لكان الفعل واجبا، حال عدمها، و هو تكليف ما لا يطاق.</w:t>
      </w:r>
      <w:r w:rsidRPr="005132C1">
        <w:rPr>
          <w:rStyle w:val="FootnoteReference"/>
          <w:rFonts w:cs="B Badr"/>
          <w:color w:val="000000" w:themeColor="text1"/>
          <w:sz w:val="32"/>
          <w:szCs w:val="32"/>
          <w:rtl/>
          <w:lang w:bidi="fa-IR"/>
        </w:rPr>
        <w:footnoteReference w:id="5"/>
      </w:r>
    </w:p>
    <w:p w:rsidR="00B41C1F" w:rsidRPr="005132C1" w:rsidRDefault="00B41C1F" w:rsidP="005132C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بنابراین عبارت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اولین کسی که کلمه ی 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مقدمه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را در مانحن فیه بکار برده است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علامه حلی است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؛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لکن قبل از ایشان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رائج ترین کلمه ی مناسب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ِ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با مانحن فیه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،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«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ما لایتم الواجب الا به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»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 بوده است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.</w:t>
      </w:r>
    </w:p>
    <w:p w:rsidR="006275F4" w:rsidRPr="005132C1" w:rsidRDefault="008A2797" w:rsidP="005132C1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کتاب بعدی </w:t>
      </w:r>
      <w:r w:rsidRPr="005132C1">
        <w:rPr>
          <w:rFonts w:cs="B Badr" w:hint="cs"/>
          <w:color w:val="0070C0"/>
          <w:sz w:val="32"/>
          <w:szCs w:val="32"/>
          <w:rtl/>
          <w:lang w:bidi="fa-IR"/>
        </w:rPr>
        <w:t>«</w:t>
      </w:r>
      <w:r w:rsidR="006275F4" w:rsidRPr="005132C1">
        <w:rPr>
          <w:rFonts w:cs="B Badr" w:hint="cs"/>
          <w:color w:val="0070C0"/>
          <w:sz w:val="32"/>
          <w:szCs w:val="32"/>
          <w:rtl/>
          <w:lang w:bidi="fa-IR"/>
        </w:rPr>
        <w:t>معالم الاصول</w:t>
      </w:r>
      <w:r w:rsidRPr="005132C1">
        <w:rPr>
          <w:rFonts w:cs="B Badr" w:hint="cs"/>
          <w:color w:val="0070C0"/>
          <w:sz w:val="32"/>
          <w:szCs w:val="32"/>
          <w:rtl/>
          <w:lang w:bidi="fa-IR"/>
        </w:rPr>
        <w:t xml:space="preserve">» </w:t>
      </w: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می باشد که فرموده:</w:t>
      </w:r>
    </w:p>
    <w:p w:rsidR="00655A09" w:rsidRPr="005132C1" w:rsidRDefault="006275F4" w:rsidP="005132C1">
      <w:pPr>
        <w:bidi/>
        <w:rPr>
          <w:rFonts w:cs="B Badr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أصلٌ: الأكثرون على أنّ الأمر بالشى‏ء مطلقا يقتضي إيجاب ما لا يتمّ إلّا به شرطا كان أو سببا أو غيرهما مع كونه مقدورا، و فصّل بعضهم: فوافق في السبب و خالف في غيره، فقال: بعدم وجوبه‏.</w:t>
      </w:r>
      <w:r w:rsidRPr="005132C1">
        <w:rPr>
          <w:rStyle w:val="FootnoteReference"/>
          <w:rFonts w:cs="B Badr"/>
          <w:color w:val="000000" w:themeColor="text1"/>
          <w:sz w:val="32"/>
          <w:szCs w:val="32"/>
          <w:rtl/>
          <w:lang w:bidi="fa-IR"/>
        </w:rPr>
        <w:footnoteReference w:id="6"/>
      </w:r>
    </w:p>
    <w:p w:rsidR="006275F4" w:rsidRPr="005132C1" w:rsidRDefault="008B051A" w:rsidP="008B051A">
      <w:pPr>
        <w:bidi/>
        <w:rPr>
          <w:rFonts w:cs="B Badr"/>
          <w:color w:val="0070C0"/>
          <w:sz w:val="32"/>
          <w:szCs w:val="32"/>
          <w:rtl/>
          <w:lang w:bidi="fa-IR"/>
        </w:rPr>
      </w:pPr>
      <w:r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و 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 xml:space="preserve">میرزای قمی در </w:t>
      </w:r>
      <w:r w:rsidR="008A2797" w:rsidRPr="005132C1">
        <w:rPr>
          <w:rFonts w:cs="B Badr" w:hint="cs"/>
          <w:color w:val="0070C0"/>
          <w:sz w:val="32"/>
          <w:szCs w:val="32"/>
          <w:rtl/>
          <w:lang w:bidi="fa-IR"/>
        </w:rPr>
        <w:t>«</w:t>
      </w:r>
      <w:r w:rsidR="00FC61EE" w:rsidRPr="005132C1">
        <w:rPr>
          <w:rFonts w:cs="B Badr" w:hint="cs"/>
          <w:color w:val="0070C0"/>
          <w:sz w:val="32"/>
          <w:szCs w:val="32"/>
          <w:rtl/>
          <w:lang w:bidi="fa-IR"/>
        </w:rPr>
        <w:t>قوانین الاصول</w:t>
      </w:r>
      <w:r w:rsidR="008A2797" w:rsidRPr="005132C1">
        <w:rPr>
          <w:rFonts w:cs="B Badr" w:hint="cs"/>
          <w:color w:val="0070C0"/>
          <w:sz w:val="32"/>
          <w:szCs w:val="32"/>
          <w:rtl/>
          <w:lang w:bidi="fa-IR"/>
        </w:rPr>
        <w:t xml:space="preserve">» </w:t>
      </w:r>
      <w:r w:rsidR="008A2797"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می فر ماید:</w:t>
      </w:r>
    </w:p>
    <w:p w:rsidR="00B04505" w:rsidRDefault="00FC61EE" w:rsidP="005132C1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 w:rsidRPr="005132C1">
        <w:rPr>
          <w:rFonts w:cs="B Badr" w:hint="cs"/>
          <w:color w:val="000000" w:themeColor="text1"/>
          <w:sz w:val="32"/>
          <w:szCs w:val="32"/>
          <w:rtl/>
          <w:lang w:bidi="fa-IR"/>
        </w:rPr>
        <w:t>قانون: اختلف الأصوليّون في «أنّ الأمر بالشي‏ء هل يقتضي إيجاب مقدّماته مطلقا أم لا؟»، على أقوال‏؛ ثالثها: اقتضاء الإيجاب في السّبب دون غيره؛ و رابعها: في الشّرط الشرعي دون غيره‏.</w:t>
      </w:r>
      <w:r w:rsidRPr="005132C1">
        <w:rPr>
          <w:rStyle w:val="FootnoteReference"/>
          <w:rFonts w:cs="B Badr"/>
          <w:color w:val="000000" w:themeColor="text1"/>
          <w:sz w:val="32"/>
          <w:szCs w:val="32"/>
          <w:rtl/>
          <w:lang w:bidi="fa-IR"/>
        </w:rPr>
        <w:footnoteReference w:id="7"/>
      </w:r>
    </w:p>
    <w:p w:rsidR="00AF4BC7" w:rsidRPr="00AF4BC7" w:rsidRDefault="00AF4BC7" w:rsidP="00B04505">
      <w:pPr>
        <w:bidi/>
        <w:rPr>
          <w:rFonts w:cs="B Badr" w:hint="cs"/>
          <w:color w:val="000000" w:themeColor="text1"/>
          <w:sz w:val="32"/>
          <w:szCs w:val="32"/>
          <w:rtl/>
          <w:lang w:bidi="fa-IR"/>
        </w:rPr>
      </w:pPr>
      <w:r w:rsidRPr="00AF4BC7">
        <w:rPr>
          <w:rFonts w:cs="B Badr" w:hint="cs"/>
          <w:color w:val="000000" w:themeColor="text1"/>
          <w:sz w:val="32"/>
          <w:szCs w:val="32"/>
          <w:rtl/>
          <w:lang w:bidi="fa-IR"/>
        </w:rPr>
        <w:t>برای اولین بار، بحث مقدمه ی واجب بشکل کامل، در قوانین آمده است.</w:t>
      </w:r>
    </w:p>
    <w:p w:rsidR="003041A1" w:rsidRPr="005132C1" w:rsidRDefault="00AF4BC7" w:rsidP="00AF4BC7">
      <w:pPr>
        <w:bidi/>
        <w:rPr>
          <w:rFonts w:cs="B Badr"/>
          <w:color w:val="000000" w:themeColor="text1"/>
          <w:sz w:val="32"/>
          <w:szCs w:val="32"/>
          <w:lang w:bidi="fa-IR"/>
        </w:rPr>
      </w:pPr>
      <w:r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  <w:bookmarkStart w:id="0" w:name="_GoBack"/>
      <w:bookmarkEnd w:id="0"/>
    </w:p>
    <w:sectPr w:rsidR="003041A1" w:rsidRPr="005132C1" w:rsidSect="00C9012E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968" w:rsidRDefault="00605968" w:rsidP="004A7F34">
      <w:r>
        <w:separator/>
      </w:r>
    </w:p>
  </w:endnote>
  <w:endnote w:type="continuationSeparator" w:id="0">
    <w:p w:rsidR="00605968" w:rsidRDefault="00605968" w:rsidP="004A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968" w:rsidRDefault="00605968" w:rsidP="004A7F34">
      <w:r>
        <w:separator/>
      </w:r>
    </w:p>
  </w:footnote>
  <w:footnote w:type="continuationSeparator" w:id="0">
    <w:p w:rsidR="00605968" w:rsidRDefault="00605968" w:rsidP="004A7F34">
      <w:r>
        <w:continuationSeparator/>
      </w:r>
    </w:p>
  </w:footnote>
  <w:footnote w:id="1">
    <w:p w:rsidR="004A7F34" w:rsidRPr="00F84451" w:rsidRDefault="004A7F34" w:rsidP="004A7F34">
      <w:pPr>
        <w:pStyle w:val="FootnoteText"/>
        <w:bidi/>
        <w:rPr>
          <w:rFonts w:cs="B Badr"/>
          <w:b/>
          <w:bCs/>
          <w:rtl/>
          <w:lang w:bidi="fa-IR"/>
        </w:rPr>
      </w:pPr>
      <w:r w:rsidRPr="00F84451">
        <w:rPr>
          <w:rStyle w:val="FootnoteReference"/>
          <w:rFonts w:cs="B Badr"/>
          <w:b/>
          <w:bCs/>
        </w:rPr>
        <w:footnoteRef/>
      </w:r>
      <w:r w:rsidRPr="00F84451">
        <w:rPr>
          <w:rFonts w:cs="B Badr"/>
          <w:b/>
          <w:bCs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.</w:t>
      </w:r>
      <w:r w:rsidRPr="00F84451">
        <w:rPr>
          <w:rFonts w:cs="B Badr" w:hint="cs"/>
          <w:b/>
          <w:bCs/>
          <w:rtl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خطبة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لأمير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المؤمنين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ع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و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هي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خطبة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الوسيلة</w:t>
      </w:r>
      <w:r w:rsidRPr="00F84451">
        <w:rPr>
          <w:rFonts w:cs="B Badr"/>
          <w:b/>
          <w:bCs/>
          <w:rtl/>
          <w:lang w:bidi="fa-IR"/>
        </w:rPr>
        <w:t>.</w:t>
      </w:r>
      <w:r w:rsidRPr="00F84451">
        <w:rPr>
          <w:rFonts w:cs="B Badr" w:hint="cs"/>
          <w:b/>
          <w:bCs/>
          <w:rtl/>
          <w:lang w:bidi="fa-IR"/>
        </w:rPr>
        <w:t>الكافي</w:t>
      </w:r>
      <w:r w:rsidRPr="00F84451">
        <w:rPr>
          <w:rFonts w:cs="B Badr"/>
          <w:b/>
          <w:bCs/>
          <w:rtl/>
          <w:lang w:bidi="fa-IR"/>
        </w:rPr>
        <w:t xml:space="preserve"> (</w:t>
      </w:r>
      <w:r w:rsidRPr="00F84451">
        <w:rPr>
          <w:rFonts w:cs="B Badr" w:hint="cs"/>
          <w:b/>
          <w:bCs/>
          <w:rtl/>
          <w:lang w:bidi="fa-IR"/>
        </w:rPr>
        <w:t>ط</w:t>
      </w:r>
      <w:r w:rsidRPr="00F84451">
        <w:rPr>
          <w:rFonts w:cs="B Badr"/>
          <w:b/>
          <w:bCs/>
          <w:rtl/>
          <w:lang w:bidi="fa-IR"/>
        </w:rPr>
        <w:t xml:space="preserve"> - </w:t>
      </w:r>
      <w:r w:rsidRPr="00F84451">
        <w:rPr>
          <w:rFonts w:cs="B Badr" w:hint="cs"/>
          <w:b/>
          <w:bCs/>
          <w:rtl/>
          <w:lang w:bidi="fa-IR"/>
        </w:rPr>
        <w:t>الإسلامية</w:t>
      </w:r>
      <w:r w:rsidRPr="00F84451">
        <w:rPr>
          <w:rFonts w:cs="B Badr"/>
          <w:b/>
          <w:bCs/>
          <w:rtl/>
          <w:lang w:bidi="fa-IR"/>
        </w:rPr>
        <w:t>)</w:t>
      </w:r>
      <w:r w:rsidRPr="00F84451">
        <w:rPr>
          <w:rFonts w:cs="B Badr" w:hint="cs"/>
          <w:b/>
          <w:bCs/>
          <w:rtl/>
          <w:lang w:bidi="fa-IR"/>
        </w:rPr>
        <w:t>،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ج‏</w:t>
      </w:r>
      <w:r w:rsidRPr="00F84451">
        <w:rPr>
          <w:rFonts w:cs="B Badr"/>
          <w:b/>
          <w:bCs/>
          <w:rtl/>
          <w:lang w:bidi="fa-IR"/>
        </w:rPr>
        <w:t>8</w:t>
      </w:r>
      <w:r w:rsidRPr="00F84451">
        <w:rPr>
          <w:rFonts w:cs="B Badr" w:hint="cs"/>
          <w:b/>
          <w:bCs/>
          <w:rtl/>
          <w:lang w:bidi="fa-IR"/>
        </w:rPr>
        <w:t>،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ص</w:t>
      </w:r>
      <w:r w:rsidRPr="00F84451">
        <w:rPr>
          <w:rFonts w:cs="B Badr"/>
          <w:b/>
          <w:bCs/>
          <w:rtl/>
          <w:lang w:bidi="fa-IR"/>
        </w:rPr>
        <w:t>: 18</w:t>
      </w:r>
      <w:r w:rsidR="009575A1" w:rsidRPr="00F84451">
        <w:rPr>
          <w:rFonts w:cs="B Badr"/>
          <w:b/>
          <w:bCs/>
          <w:lang w:bidi="fa-IR"/>
        </w:rPr>
        <w:t>.</w:t>
      </w:r>
    </w:p>
  </w:footnote>
  <w:footnote w:id="2">
    <w:p w:rsidR="009575A1" w:rsidRPr="00F84451" w:rsidRDefault="009575A1" w:rsidP="009575A1">
      <w:pPr>
        <w:pStyle w:val="FootnoteText"/>
        <w:bidi/>
        <w:rPr>
          <w:rFonts w:cs="B Badr"/>
          <w:b/>
          <w:bCs/>
          <w:lang w:bidi="fa-IR"/>
        </w:rPr>
      </w:pPr>
      <w:r w:rsidRPr="00F84451">
        <w:rPr>
          <w:rStyle w:val="FootnoteReference"/>
          <w:rFonts w:cs="B Badr"/>
          <w:b/>
          <w:bCs/>
        </w:rPr>
        <w:footnoteRef/>
      </w:r>
      <w:r w:rsidRPr="00F84451">
        <w:rPr>
          <w:rFonts w:cs="B Badr"/>
          <w:b/>
          <w:bCs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.</w:t>
      </w:r>
      <w:r w:rsidRPr="00F84451">
        <w:rPr>
          <w:rFonts w:cs="B Badr"/>
          <w:b/>
          <w:bCs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مختصر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التذكرة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بأصول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الفقه،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ص</w:t>
      </w:r>
      <w:r w:rsidRPr="00F84451">
        <w:rPr>
          <w:rFonts w:cs="B Badr"/>
          <w:b/>
          <w:bCs/>
          <w:rtl/>
          <w:lang w:bidi="fa-IR"/>
        </w:rPr>
        <w:t>: 31</w:t>
      </w:r>
      <w:r w:rsidRPr="00F84451">
        <w:rPr>
          <w:rFonts w:cs="B Badr"/>
          <w:b/>
          <w:bCs/>
          <w:lang w:bidi="fa-IR"/>
        </w:rPr>
        <w:t>.</w:t>
      </w:r>
    </w:p>
  </w:footnote>
  <w:footnote w:id="3">
    <w:p w:rsidR="0056233A" w:rsidRPr="00F84451" w:rsidRDefault="0056233A" w:rsidP="005729E6">
      <w:pPr>
        <w:pStyle w:val="FootnoteText"/>
        <w:bidi/>
        <w:rPr>
          <w:rFonts w:cs="B Badr"/>
          <w:b/>
          <w:bCs/>
          <w:rtl/>
          <w:lang w:bidi="fa-IR"/>
        </w:rPr>
      </w:pPr>
      <w:r w:rsidRPr="00F84451">
        <w:rPr>
          <w:rStyle w:val="FootnoteReference"/>
          <w:rFonts w:cs="B Badr"/>
          <w:b/>
          <w:bCs/>
        </w:rPr>
        <w:footnoteRef/>
      </w:r>
      <w:r w:rsidRPr="00F84451">
        <w:rPr>
          <w:rFonts w:cs="B Badr"/>
          <w:b/>
          <w:bCs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.</w:t>
      </w:r>
      <w:r w:rsidR="00437FEB" w:rsidRPr="00F84451">
        <w:rPr>
          <w:rFonts w:cs="B Badr" w:hint="cs"/>
          <w:b/>
          <w:bCs/>
          <w:rtl/>
          <w:lang w:bidi="fa-IR"/>
        </w:rPr>
        <w:t>فصل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في</w:t>
      </w:r>
      <w:r w:rsidR="00437FEB" w:rsidRPr="00F84451">
        <w:rPr>
          <w:rFonts w:cs="B Badr"/>
          <w:b/>
          <w:bCs/>
          <w:rtl/>
          <w:lang w:bidi="fa-IR"/>
        </w:rPr>
        <w:t>«</w:t>
      </w:r>
      <w:r w:rsidR="00437FEB" w:rsidRPr="00F84451">
        <w:rPr>
          <w:rFonts w:cs="B Badr" w:hint="cs"/>
          <w:b/>
          <w:bCs/>
          <w:rtl/>
          <w:lang w:bidi="fa-IR"/>
        </w:rPr>
        <w:t>هل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الأمر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بالشي‏ء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أمر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بما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لايتمّ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إلا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به‏</w:t>
      </w:r>
      <w:r w:rsidR="00437FEB" w:rsidRPr="00F84451">
        <w:rPr>
          <w:rFonts w:cs="B Badr" w:hint="eastAsia"/>
          <w:b/>
          <w:bCs/>
          <w:rtl/>
          <w:lang w:bidi="fa-IR"/>
        </w:rPr>
        <w:t>»</w:t>
      </w:r>
      <w:r w:rsidR="00437FEB" w:rsidRPr="00F84451">
        <w:rPr>
          <w:rFonts w:cs="B Badr" w:hint="cs"/>
          <w:b/>
          <w:bCs/>
          <w:rtl/>
          <w:lang w:bidi="fa-IR"/>
        </w:rPr>
        <w:t>؛إعلم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أنّ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كلّ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من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تكلّم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في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هذا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الباب،أطلق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القول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بأنّ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الأمر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بالشي‏ء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هو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بعينه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أمر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بما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لايتمّ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ذلك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الشّي‏ء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إلاّ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5729E6" w:rsidRPr="00F84451">
        <w:rPr>
          <w:rFonts w:cs="B Badr" w:hint="cs"/>
          <w:b/>
          <w:bCs/>
          <w:rtl/>
          <w:lang w:bidi="fa-IR"/>
        </w:rPr>
        <w:t>به.</w:t>
      </w:r>
      <w:r w:rsidR="00437FEB" w:rsidRPr="00F84451">
        <w:rPr>
          <w:rFonts w:cs="B Badr" w:hint="cs"/>
          <w:b/>
          <w:bCs/>
          <w:rtl/>
          <w:lang w:bidi="fa-IR"/>
        </w:rPr>
        <w:t>و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الصّحيح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أن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يقسّم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ذلك،فنقول</w:t>
      </w:r>
      <w:r w:rsidR="005729E6" w:rsidRPr="00F84451">
        <w:rPr>
          <w:rFonts w:cs="B Badr"/>
          <w:b/>
          <w:bCs/>
          <w:rtl/>
          <w:lang w:bidi="fa-IR"/>
        </w:rPr>
        <w:t>:</w:t>
      </w:r>
      <w:r w:rsidR="00437FEB" w:rsidRPr="00F84451">
        <w:rPr>
          <w:rFonts w:cs="B Badr" w:hint="cs"/>
          <w:b/>
          <w:bCs/>
          <w:rtl/>
          <w:lang w:bidi="fa-IR"/>
        </w:rPr>
        <w:t>إن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كان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الّذي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لايتمّ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ذلك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الشّي‏ء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إلاّ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به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سببا،فالأمر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بالمسبّب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يجب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أن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يكون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أمرا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به،و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إن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كان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غير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سبب،و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إنّماهو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مقدّمة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للفعل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و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شرط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فيه،لم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يجب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أن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يعقل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من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مجرّد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الأمر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أنّه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أمر</w:t>
      </w:r>
      <w:r w:rsidR="00437FEB" w:rsidRPr="00F84451">
        <w:rPr>
          <w:rFonts w:cs="B Badr"/>
          <w:b/>
          <w:bCs/>
          <w:rtl/>
          <w:lang w:bidi="fa-IR"/>
        </w:rPr>
        <w:t xml:space="preserve"> </w:t>
      </w:r>
      <w:r w:rsidR="00437FEB" w:rsidRPr="00F84451">
        <w:rPr>
          <w:rFonts w:cs="B Badr" w:hint="cs"/>
          <w:b/>
          <w:bCs/>
          <w:rtl/>
          <w:lang w:bidi="fa-IR"/>
        </w:rPr>
        <w:t>به</w:t>
      </w:r>
      <w:r w:rsidR="00437FEB" w:rsidRPr="00F84451">
        <w:rPr>
          <w:rFonts w:cs="B Badr" w:hint="cs"/>
          <w:b/>
          <w:bCs/>
          <w:rtl/>
        </w:rPr>
        <w:t>(</w:t>
      </w:r>
      <w:r w:rsidRPr="00F84451">
        <w:rPr>
          <w:rFonts w:cs="B Badr" w:hint="cs"/>
          <w:b/>
          <w:bCs/>
          <w:rtl/>
          <w:lang w:bidi="fa-IR"/>
        </w:rPr>
        <w:t>الذريعة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إلى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أصول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الشريعة،ج‏</w:t>
      </w:r>
      <w:r w:rsidR="005729E6" w:rsidRPr="00F84451">
        <w:rPr>
          <w:rFonts w:cs="B Badr" w:hint="cs"/>
          <w:b/>
          <w:bCs/>
          <w:rtl/>
          <w:lang w:bidi="fa-IR"/>
        </w:rPr>
        <w:t>1</w:t>
      </w:r>
      <w:r w:rsidRPr="00F84451">
        <w:rPr>
          <w:rFonts w:cs="B Badr" w:hint="cs"/>
          <w:b/>
          <w:bCs/>
          <w:rtl/>
          <w:lang w:bidi="fa-IR"/>
        </w:rPr>
        <w:t>،ص</w:t>
      </w:r>
      <w:r w:rsidR="005729E6" w:rsidRPr="00F84451">
        <w:rPr>
          <w:rFonts w:cs="B Badr"/>
          <w:b/>
          <w:bCs/>
          <w:rtl/>
          <w:lang w:bidi="fa-IR"/>
        </w:rPr>
        <w:t>:</w:t>
      </w:r>
      <w:r w:rsidRPr="00F84451">
        <w:rPr>
          <w:rFonts w:cs="B Badr"/>
          <w:b/>
          <w:bCs/>
          <w:rtl/>
          <w:lang w:bidi="fa-IR"/>
        </w:rPr>
        <w:t>83</w:t>
      </w:r>
      <w:r w:rsidR="005729E6" w:rsidRPr="00F84451">
        <w:rPr>
          <w:rFonts w:cs="B Badr" w:hint="cs"/>
          <w:b/>
          <w:bCs/>
          <w:rtl/>
          <w:lang w:bidi="fa-IR"/>
        </w:rPr>
        <w:t>)</w:t>
      </w:r>
    </w:p>
  </w:footnote>
  <w:footnote w:id="4">
    <w:p w:rsidR="00065CB4" w:rsidRPr="00F84451" w:rsidRDefault="00065CB4" w:rsidP="00065CB4">
      <w:pPr>
        <w:pStyle w:val="FootnoteText"/>
        <w:bidi/>
        <w:rPr>
          <w:rFonts w:cs="B Badr"/>
          <w:b/>
          <w:bCs/>
          <w:rtl/>
          <w:lang w:bidi="fa-IR"/>
        </w:rPr>
      </w:pPr>
      <w:r w:rsidRPr="00F84451">
        <w:rPr>
          <w:rStyle w:val="FootnoteReference"/>
          <w:rFonts w:cs="B Badr"/>
          <w:b/>
          <w:bCs/>
        </w:rPr>
        <w:footnoteRef/>
      </w:r>
      <w:r w:rsidRPr="00F84451">
        <w:rPr>
          <w:rFonts w:cs="B Badr"/>
          <w:b/>
          <w:bCs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.</w:t>
      </w:r>
      <w:r w:rsidRPr="00F84451">
        <w:rPr>
          <w:rFonts w:cs="B Badr" w:hint="cs"/>
          <w:b/>
          <w:bCs/>
          <w:rtl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العدة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في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أصول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الفقه،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ج‏</w:t>
      </w:r>
      <w:r w:rsidRPr="00F84451">
        <w:rPr>
          <w:rFonts w:cs="B Badr"/>
          <w:b/>
          <w:bCs/>
          <w:rtl/>
          <w:lang w:bidi="fa-IR"/>
        </w:rPr>
        <w:t>1</w:t>
      </w:r>
      <w:r w:rsidRPr="00F84451">
        <w:rPr>
          <w:rFonts w:cs="B Badr" w:hint="cs"/>
          <w:b/>
          <w:bCs/>
          <w:rtl/>
          <w:lang w:bidi="fa-IR"/>
        </w:rPr>
        <w:t>،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ص</w:t>
      </w:r>
      <w:r w:rsidRPr="00F84451">
        <w:rPr>
          <w:rFonts w:cs="B Badr"/>
          <w:b/>
          <w:bCs/>
          <w:rtl/>
          <w:lang w:bidi="fa-IR"/>
        </w:rPr>
        <w:t>: 186</w:t>
      </w:r>
      <w:r w:rsidRPr="00F84451">
        <w:rPr>
          <w:rFonts w:cs="B Badr" w:hint="cs"/>
          <w:b/>
          <w:bCs/>
          <w:rtl/>
          <w:lang w:bidi="fa-IR"/>
        </w:rPr>
        <w:t>.</w:t>
      </w:r>
    </w:p>
  </w:footnote>
  <w:footnote w:id="5">
    <w:p w:rsidR="00162DB8" w:rsidRPr="00F84451" w:rsidRDefault="00162DB8" w:rsidP="00162DB8">
      <w:pPr>
        <w:pStyle w:val="FootnoteText"/>
        <w:bidi/>
        <w:rPr>
          <w:rFonts w:cs="B Badr"/>
          <w:b/>
          <w:bCs/>
          <w:rtl/>
          <w:lang w:bidi="fa-IR"/>
        </w:rPr>
      </w:pPr>
      <w:r w:rsidRPr="00F84451">
        <w:rPr>
          <w:rStyle w:val="FootnoteReference"/>
          <w:rFonts w:cs="B Badr"/>
          <w:b/>
          <w:bCs/>
        </w:rPr>
        <w:footnoteRef/>
      </w:r>
      <w:r w:rsidRPr="00F84451">
        <w:rPr>
          <w:rFonts w:cs="B Badr"/>
          <w:b/>
          <w:bCs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. مبادي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الوصول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إلى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علم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الأصول،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ص</w:t>
      </w:r>
      <w:r w:rsidRPr="00F84451">
        <w:rPr>
          <w:rFonts w:cs="B Badr"/>
          <w:b/>
          <w:bCs/>
          <w:rtl/>
          <w:lang w:bidi="fa-IR"/>
        </w:rPr>
        <w:t>: 11</w:t>
      </w:r>
      <w:r w:rsidRPr="00F84451">
        <w:rPr>
          <w:rFonts w:cs="B Badr" w:hint="cs"/>
          <w:b/>
          <w:bCs/>
          <w:rtl/>
          <w:lang w:bidi="fa-IR"/>
        </w:rPr>
        <w:t>1</w:t>
      </w:r>
      <w:r w:rsidR="00BD2750" w:rsidRPr="00F84451">
        <w:rPr>
          <w:rFonts w:cs="B Badr" w:hint="cs"/>
          <w:b/>
          <w:bCs/>
          <w:rtl/>
          <w:lang w:bidi="fa-IR"/>
        </w:rPr>
        <w:t>.</w:t>
      </w:r>
    </w:p>
  </w:footnote>
  <w:footnote w:id="6">
    <w:p w:rsidR="006275F4" w:rsidRPr="00F84451" w:rsidRDefault="006275F4" w:rsidP="006275F4">
      <w:pPr>
        <w:pStyle w:val="FootnoteText"/>
        <w:bidi/>
        <w:rPr>
          <w:rFonts w:cs="B Badr"/>
          <w:b/>
          <w:bCs/>
          <w:rtl/>
          <w:lang w:bidi="fa-IR"/>
        </w:rPr>
      </w:pPr>
      <w:r w:rsidRPr="00F84451">
        <w:rPr>
          <w:rStyle w:val="FootnoteReference"/>
          <w:rFonts w:cs="B Badr"/>
          <w:b/>
          <w:bCs/>
        </w:rPr>
        <w:footnoteRef/>
      </w:r>
      <w:r w:rsidRPr="00F84451">
        <w:rPr>
          <w:rFonts w:cs="B Badr"/>
          <w:b/>
          <w:bCs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.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معالم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الأصول</w:t>
      </w:r>
      <w:r w:rsidRPr="00F84451">
        <w:rPr>
          <w:rFonts w:cs="B Badr"/>
          <w:b/>
          <w:bCs/>
          <w:rtl/>
          <w:lang w:bidi="fa-IR"/>
        </w:rPr>
        <w:t xml:space="preserve"> ( </w:t>
      </w:r>
      <w:r w:rsidRPr="00F84451">
        <w:rPr>
          <w:rFonts w:cs="B Badr" w:hint="cs"/>
          <w:b/>
          <w:bCs/>
          <w:rtl/>
          <w:lang w:bidi="fa-IR"/>
        </w:rPr>
        <w:t>با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حواشى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سلطان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العلماء</w:t>
      </w:r>
      <w:r w:rsidRPr="00F84451">
        <w:rPr>
          <w:rFonts w:cs="B Badr"/>
          <w:b/>
          <w:bCs/>
          <w:rtl/>
          <w:lang w:bidi="fa-IR"/>
        </w:rPr>
        <w:t xml:space="preserve"> )</w:t>
      </w:r>
      <w:r w:rsidRPr="00F84451">
        <w:rPr>
          <w:rFonts w:cs="B Badr" w:hint="cs"/>
          <w:b/>
          <w:bCs/>
          <w:rtl/>
          <w:lang w:bidi="fa-IR"/>
        </w:rPr>
        <w:t>،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ص</w:t>
      </w:r>
      <w:r w:rsidRPr="00F84451">
        <w:rPr>
          <w:rFonts w:cs="B Badr"/>
          <w:b/>
          <w:bCs/>
          <w:rtl/>
          <w:lang w:bidi="fa-IR"/>
        </w:rPr>
        <w:t>: 84</w:t>
      </w:r>
      <w:r w:rsidRPr="00F84451">
        <w:rPr>
          <w:rFonts w:cs="B Badr" w:hint="cs"/>
          <w:b/>
          <w:bCs/>
          <w:rtl/>
          <w:lang w:bidi="fa-IR"/>
        </w:rPr>
        <w:t>.</w:t>
      </w:r>
    </w:p>
  </w:footnote>
  <w:footnote w:id="7">
    <w:p w:rsidR="00FC61EE" w:rsidRPr="00F84451" w:rsidRDefault="00FC61EE" w:rsidP="00FC61EE">
      <w:pPr>
        <w:pStyle w:val="FootnoteText"/>
        <w:bidi/>
        <w:rPr>
          <w:rFonts w:cs="B Badr"/>
          <w:b/>
          <w:bCs/>
          <w:rtl/>
          <w:lang w:bidi="fa-IR"/>
        </w:rPr>
      </w:pPr>
      <w:r w:rsidRPr="00F84451">
        <w:rPr>
          <w:rStyle w:val="FootnoteReference"/>
          <w:rFonts w:cs="B Badr"/>
          <w:b/>
          <w:bCs/>
        </w:rPr>
        <w:footnoteRef/>
      </w:r>
      <w:r w:rsidRPr="00F84451">
        <w:rPr>
          <w:rFonts w:cs="B Badr" w:hint="cs"/>
          <w:b/>
          <w:bCs/>
          <w:rtl/>
          <w:lang w:bidi="fa-IR"/>
        </w:rPr>
        <w:t>.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قوانين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الأصول</w:t>
      </w:r>
      <w:r w:rsidRPr="00F84451">
        <w:rPr>
          <w:rFonts w:cs="B Badr"/>
          <w:b/>
          <w:bCs/>
          <w:rtl/>
          <w:lang w:bidi="fa-IR"/>
        </w:rPr>
        <w:t xml:space="preserve"> ( </w:t>
      </w:r>
      <w:r w:rsidRPr="00F84451">
        <w:rPr>
          <w:rFonts w:cs="B Badr" w:hint="cs"/>
          <w:b/>
          <w:bCs/>
          <w:rtl/>
          <w:lang w:bidi="fa-IR"/>
        </w:rPr>
        <w:t>طبع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قديم</w:t>
      </w:r>
      <w:r w:rsidRPr="00F84451">
        <w:rPr>
          <w:rFonts w:cs="B Badr"/>
          <w:b/>
          <w:bCs/>
          <w:rtl/>
          <w:lang w:bidi="fa-IR"/>
        </w:rPr>
        <w:t xml:space="preserve"> )</w:t>
      </w:r>
      <w:r w:rsidRPr="00F84451">
        <w:rPr>
          <w:rFonts w:cs="B Badr" w:hint="cs"/>
          <w:b/>
          <w:bCs/>
          <w:rtl/>
          <w:lang w:bidi="fa-IR"/>
        </w:rPr>
        <w:t>،</w:t>
      </w:r>
      <w:r w:rsidRPr="00F84451">
        <w:rPr>
          <w:rFonts w:cs="B Badr"/>
          <w:b/>
          <w:bCs/>
          <w:rtl/>
          <w:lang w:bidi="fa-IR"/>
        </w:rPr>
        <w:t xml:space="preserve"> </w:t>
      </w:r>
      <w:r w:rsidRPr="00F84451">
        <w:rPr>
          <w:rFonts w:cs="B Badr" w:hint="cs"/>
          <w:b/>
          <w:bCs/>
          <w:rtl/>
          <w:lang w:bidi="fa-IR"/>
        </w:rPr>
        <w:t>ص</w:t>
      </w:r>
      <w:r w:rsidRPr="00F84451">
        <w:rPr>
          <w:rFonts w:cs="B Badr"/>
          <w:b/>
          <w:bCs/>
          <w:rtl/>
          <w:lang w:bidi="fa-IR"/>
        </w:rPr>
        <w:t>: 99</w:t>
      </w:r>
      <w:r w:rsidR="003041A1" w:rsidRPr="00F84451">
        <w:rPr>
          <w:rFonts w:cs="B Badr" w:hint="cs"/>
          <w:b/>
          <w:bCs/>
          <w:rtl/>
          <w:lang w:bidi="fa-IR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12E"/>
    <w:rsid w:val="00010EB1"/>
    <w:rsid w:val="000445AA"/>
    <w:rsid w:val="000618B8"/>
    <w:rsid w:val="00065CB4"/>
    <w:rsid w:val="00162DB8"/>
    <w:rsid w:val="00292F98"/>
    <w:rsid w:val="002D64A7"/>
    <w:rsid w:val="003041A1"/>
    <w:rsid w:val="00437FEB"/>
    <w:rsid w:val="004A7F34"/>
    <w:rsid w:val="005132C1"/>
    <w:rsid w:val="0056233A"/>
    <w:rsid w:val="005729E6"/>
    <w:rsid w:val="00605968"/>
    <w:rsid w:val="006275F4"/>
    <w:rsid w:val="00655A09"/>
    <w:rsid w:val="006B74DB"/>
    <w:rsid w:val="006D17EB"/>
    <w:rsid w:val="00803A08"/>
    <w:rsid w:val="008A2797"/>
    <w:rsid w:val="008B051A"/>
    <w:rsid w:val="008F67C5"/>
    <w:rsid w:val="009575A1"/>
    <w:rsid w:val="009B4DC8"/>
    <w:rsid w:val="00AF4BC7"/>
    <w:rsid w:val="00B04505"/>
    <w:rsid w:val="00B41C1F"/>
    <w:rsid w:val="00B81B41"/>
    <w:rsid w:val="00BD2750"/>
    <w:rsid w:val="00C9012E"/>
    <w:rsid w:val="00D579FD"/>
    <w:rsid w:val="00D7123C"/>
    <w:rsid w:val="00D7711A"/>
    <w:rsid w:val="00DD534A"/>
    <w:rsid w:val="00E14B86"/>
    <w:rsid w:val="00E64FEE"/>
    <w:rsid w:val="00EE75FD"/>
    <w:rsid w:val="00EF0EEB"/>
    <w:rsid w:val="00F056AF"/>
    <w:rsid w:val="00F84451"/>
    <w:rsid w:val="00FC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A7F3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7F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A7F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A7F3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7F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A7F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2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30</cp:revision>
  <dcterms:created xsi:type="dcterms:W3CDTF">2019-03-11T16:40:00Z</dcterms:created>
  <dcterms:modified xsi:type="dcterms:W3CDTF">2019-03-12T02:51:00Z</dcterms:modified>
</cp:coreProperties>
</file>